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乡镇企业如何走出低谷  河南省乡镇企业改革发展思路研究</w:t>
      </w:r>
    </w:p>
    <w:p>
      <w:r>
        <w:rPr>
          <w:rFonts w:ascii="宋体" w:hAnsi="宋体" w:eastAsia="宋体"/>
          <w:sz w:val="24"/>
        </w:rPr>
        <w:t>姜法芹主持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乡镇企业如何走出低谷  河南省乡镇企业改革发展思路研究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姜法芹主持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《乡镇企业如何走出低谷》课题组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本书出售、求购地址：https://www.jiaokey.com/book/detail/13285530.html</w:t>
      </w:r>
    </w:p>
    <w:p>
      <w:r>
        <w:t>更多相关图书推荐：https://www.jiaokey.com</w:t>
      </w:r>
    </w:p>
    <w:p>
      <w:r>
        <w:t>姜法芹主持 其他作品：https://www.jiaokey.com/tag/姜法芹主持.html</w:t>
      </w:r>
    </w:p>
    <w:p>
      <w:r>
        <w:t>《乡镇企业如何走出低谷》课题组 出版图书：https://www.jiaokey.com/tag/《乡镇企业如何走出低谷》课题组.html</w:t>
      </w:r>
    </w:p>
    <w:p>
      <w:r>
        <w:t>关键词搜索：https://www.jiaokey.com/tag/乡镇企业如何走出低谷  河南省乡镇企业改革发展思路研究.html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