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加快非公有制经济发展的系统研究  研究报告  我国非公有制经济发展的现状、趋势与对策</w:t>
      </w:r>
    </w:p>
    <w:p>
      <w:r>
        <w:rPr>
          <w:rFonts w:ascii="宋体" w:hAnsi="宋体" w:eastAsia="宋体"/>
          <w:sz w:val="24"/>
        </w:rPr>
        <w:t>于金富负责人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加快非公有制经济发展的系统研究  研究报告  我国非公有制经济发展的现状、趋势与对策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本书出售、求购地址：https://www.jiaokey.com/book/detail/13285527.html</w:t>
      </w:r>
    </w:p>
    <w:p>
      <w:r>
        <w:t>更多相关图书推荐：https://www.jiaokey.com</w:t>
      </w:r>
    </w:p>
    <w:p>
      <w:r>
        <w:t>于金富负责人 其他作品：https://www.jiaokey.com/tag/于金富负责人.html</w:t>
      </w:r>
    </w:p>
    <w:p>
      <w:r>
        <w:t>关键词搜索：https://www.jiaokey.com/tag/加快非公有制经济发展的系统研究  研究报告  我国非公有制经济发展的现状、趋势与对策.html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