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我省企业如何应对入世后的知识产权挑战</w:t>
      </w:r>
    </w:p>
    <w:p>
      <w:r>
        <w:rPr>
          <w:rFonts w:ascii="宋体" w:hAnsi="宋体" w:eastAsia="宋体"/>
          <w:sz w:val="24"/>
        </w:rPr>
        <w:t>杨淑霞项目负责人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我省企业如何应对入世后的知识产权挑战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杨淑霞项目负责人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本书出售、求购地址：https://www.jiaokey.com/book/detail/13285525.html</w:t>
      </w:r>
    </w:p>
    <w:p>
      <w:r>
        <w:t>更多相关图书推荐：https://www.jiaokey.com</w:t>
      </w:r>
    </w:p>
    <w:p>
      <w:r>
        <w:t>杨淑霞项目负责人 其他作品：https://www.jiaokey.com/tag/杨淑霞项目负责人.html</w:t>
      </w:r>
    </w:p>
    <w:p>
      <w:r>
        <w:t>关键词搜索：https://www.jiaokey.com/tag/我省企业如何应对入世后的知识产权挑战.html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