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河南省国有企业建立经营管理激励和约束机制问题研究</w:t>
      </w:r>
    </w:p>
    <w:p>
      <w:r>
        <w:rPr>
          <w:rFonts w:ascii="宋体" w:hAnsi="宋体" w:eastAsia="宋体"/>
          <w:sz w:val="24"/>
        </w:rPr>
        <w:t>张学功项目负责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河南省国有企业建立经营管理激励和约束机制问题研究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张学功项目负责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河南省财政税务专科学校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本书出售、求购地址：https://www.jiaokey.com/book/detail/13285421.html</w:t>
      </w:r>
    </w:p>
    <w:p>
      <w:r>
        <w:t>更多相关图书推荐：https://www.jiaokey.com</w:t>
      </w:r>
    </w:p>
    <w:p>
      <w:r>
        <w:t>张学功项目负责 其他作品：https://www.jiaokey.com/tag/张学功项目负责.html</w:t>
      </w:r>
    </w:p>
    <w:p>
      <w:r>
        <w:t>河南省财政税务专科学校 出版图书：https://www.jiaokey.com/tag/河南省财政税务专科学校.html</w:t>
      </w:r>
    </w:p>
    <w:p>
      <w:r>
        <w:t>关键词搜索：https://www.jiaokey.com/tag/河南省国有企业建立经营管理激励和约束机制问题研究.html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