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商标权、外观设计专利权、著作权冲突问题研究(论文)</w:t>
      </w:r>
    </w:p>
    <w:p>
      <w:r>
        <w:rPr>
          <w:rFonts w:ascii="宋体" w:hAnsi="宋体" w:eastAsia="宋体"/>
          <w:sz w:val="24"/>
        </w:rPr>
        <w:t>金多才主持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商标权、外观设计专利权、著作权冲突问题研究(论文)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金多才主持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本书出售、求购地址：https://www.jiaokey.com/book/detail/13285401.html</w:t>
      </w:r>
    </w:p>
    <w:p>
      <w:r>
        <w:t>更多相关图书推荐：https://www.jiaokey.com</w:t>
      </w:r>
    </w:p>
    <w:p>
      <w:r>
        <w:t>金多才主持 其他作品：https://www.jiaokey.com/tag/金多才主持.html</w:t>
      </w:r>
    </w:p>
    <w:p>
      <w:r>
        <w:t>河南省政法管理干部学院 出版图书：https://www.jiaokey.com/tag/河南省政法管理干部学院.html</w:t>
      </w:r>
    </w:p>
    <w:p>
      <w:r>
        <w:t>关键词搜索：https://www.jiaokey.com/tag/商标权、外观设计专利权、著作权冲突问题研究(论文).html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