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非公有制经济劳动关系问题研究</w:t>
      </w:r>
    </w:p>
    <w:p>
      <w:r>
        <w:rPr>
          <w:rFonts w:ascii="宋体" w:hAnsi="宋体" w:eastAsia="宋体"/>
          <w:sz w:val="24"/>
        </w:rPr>
        <w:t>冀延卿课题负责人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非公有制经济劳动关系问题研究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冀延卿课题负责人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河南财经学院成教院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本书出售、求购地址：https://www.jiaokey.com/book/detail/13285400.html</w:t>
      </w:r>
    </w:p>
    <w:p>
      <w:r>
        <w:t>更多相关图书推荐：https://www.jiaokey.com</w:t>
      </w:r>
    </w:p>
    <w:p>
      <w:r>
        <w:t>冀延卿课题负责人 其他作品：https://www.jiaokey.com/tag/冀延卿课题负责人.html</w:t>
      </w:r>
    </w:p>
    <w:p>
      <w:r>
        <w:t>河南财经学院成教院 出版图书：https://www.jiaokey.com/tag/河南财经学院成教院.html</w:t>
      </w:r>
    </w:p>
    <w:p>
      <w:r>
        <w:t>关键词搜索：https://www.jiaokey.com/tag/非公有制经济劳动关系问题研究.html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