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WTO与我国农业发展法律保障机制的完善</w:t>
      </w:r>
    </w:p>
    <w:p>
      <w:r>
        <w:rPr>
          <w:rFonts w:ascii="宋体" w:hAnsi="宋体" w:eastAsia="宋体"/>
          <w:sz w:val="24"/>
        </w:rPr>
        <w:t>吴喜梅课题负责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WTO与我国农业发展法律保障机制的完善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吴喜梅课题负责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本书出售、求购地址：https://www.jiaokey.com/book/detail/13285398.html</w:t>
      </w:r>
    </w:p>
    <w:p>
      <w:r>
        <w:t>更多相关图书推荐：https://www.jiaokey.com</w:t>
      </w:r>
    </w:p>
    <w:p>
      <w:r>
        <w:t>吴喜梅课题负责 其他作品：https://www.jiaokey.com/tag/吴喜梅课题负责.html</w:t>
      </w:r>
    </w:p>
    <w:p>
      <w:r>
        <w:t>郑州大学法学院 出版图书：https://www.jiaokey.com/tag/郑州大学法学院.html</w:t>
      </w:r>
    </w:p>
    <w:p>
      <w:r>
        <w:t>关键词搜索：https://www.jiaokey.com/tag/WTO与我国农业发展法律保障机制的完善.html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