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医疗事件的法律定性及相关法律的完善</w:t>
      </w:r>
    </w:p>
    <w:p>
      <w:r>
        <w:rPr>
          <w:rFonts w:ascii="宋体" w:hAnsi="宋体" w:eastAsia="宋体"/>
          <w:sz w:val="24"/>
        </w:rPr>
        <w:t>赵新河项目负责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医疗事件的法律定性及相关法律的完善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赵新河项目负责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河南省社会科学院法学社会学所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本书出售、求购地址：https://www.jiaokey.com/book/detail/13285394.html</w:t>
      </w:r>
    </w:p>
    <w:p>
      <w:r>
        <w:t>更多相关图书推荐：https://www.jiaokey.com</w:t>
      </w:r>
    </w:p>
    <w:p>
      <w:r>
        <w:t>赵新河项目负责 其他作品：https://www.jiaokey.com/tag/赵新河项目负责.html</w:t>
      </w:r>
    </w:p>
    <w:p>
      <w:r>
        <w:t>河南省社会科学院法学社会学所 出版图书：https://www.jiaokey.com/tag/河南省社会科学院法学社会学所.html</w:t>
      </w:r>
    </w:p>
    <w:p>
      <w:r>
        <w:t>关键词搜索：https://www.jiaokey.com/tag/医疗事件的法律定性及相关法律的完善.html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