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河南农村信用合作社金融风险防范和救济的法律问题研究</w:t>
      </w:r>
    </w:p>
    <w:p>
      <w:r>
        <w:rPr>
          <w:rFonts w:ascii="宋体" w:hAnsi="宋体" w:eastAsia="宋体"/>
          <w:sz w:val="24"/>
        </w:rPr>
        <w:t>秦恩才，李跃利主持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河南农村信用合作社金融风险防范和救济的法律问题研究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秦恩才，李跃利主持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本书出售、求购地址：https://www.jiaokey.com/book/detail/13285393.html</w:t>
      </w:r>
    </w:p>
    <w:p>
      <w:r>
        <w:t>更多相关图书推荐：https://www.jiaokey.com</w:t>
      </w:r>
    </w:p>
    <w:p>
      <w:r>
        <w:t>秦恩才，李跃利主持 其他作品：https://www.jiaokey.com/tag/秦恩才，李跃利主持.html</w:t>
      </w:r>
    </w:p>
    <w:p>
      <w:r>
        <w:t>河南省政法管理干部学院 出版图书：https://www.jiaokey.com/tag/河南省政法管理干部学院.html</w:t>
      </w:r>
    </w:p>
    <w:p>
      <w:r>
        <w:t>关键词搜索：https://www.jiaokey.com/tag/河南农村信用合作社金融风险防范和救济的法律问题研究.html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