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促进非公有制经济健康发展的政府行为体系研究</w:t>
      </w:r>
    </w:p>
    <w:p>
      <w:r>
        <w:rPr>
          <w:rFonts w:ascii="宋体" w:hAnsi="宋体" w:eastAsia="宋体"/>
          <w:sz w:val="24"/>
        </w:rPr>
        <w:t>苗菱主持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促进非公有制经济健康发展的政府行为体系研究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苗菱主持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中共洛阳市委党校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本书出售、求购地址：https://www.jiaokey.com/book/detail/13285348.html</w:t>
      </w:r>
    </w:p>
    <w:p>
      <w:r>
        <w:t>更多相关图书推荐：https://www.jiaokey.com</w:t>
      </w:r>
    </w:p>
    <w:p>
      <w:r>
        <w:t>苗菱主持 其他作品：https://www.jiaokey.com/tag/苗菱主持.html</w:t>
      </w:r>
    </w:p>
    <w:p>
      <w:r>
        <w:t>中共洛阳市委党校 出版图书：https://www.jiaokey.com/tag/中共洛阳市委党校.html</w:t>
      </w:r>
    </w:p>
    <w:p>
      <w:r>
        <w:t>关键词搜索：https://www.jiaokey.com/tag/促进非公有制经济健康发展的政府行为体系研究.html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