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举债兴教，强力开发人力资源  教育投资机制分析与河南教育强省思路探索</w:t>
      </w:r>
    </w:p>
    <w:p>
      <w:r>
        <w:rPr>
          <w:rFonts w:ascii="宋体" w:hAnsi="宋体" w:eastAsia="宋体"/>
          <w:sz w:val="24"/>
        </w:rPr>
        <w:t>刘道兴主持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举债兴教，强力开发人力资源  教育投资机制分析与河南教育强省思路探索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本书出售、求购地址：https://www.jiaokey.com/book/detail/13285340.html</w:t>
      </w:r>
    </w:p>
    <w:p>
      <w:r>
        <w:t>更多相关图书推荐：https://www.jiaokey.com</w:t>
      </w:r>
    </w:p>
    <w:p>
      <w:r>
        <w:t>刘道兴主持 其他作品：https://www.jiaokey.com/tag/刘道兴主持.html</w:t>
      </w:r>
    </w:p>
    <w:p>
      <w:r>
        <w:t>河南省社会科学院 出版图书：https://www.jiaokey.com/tag/河南省社会科学院.html</w:t>
      </w:r>
    </w:p>
    <w:p>
      <w:r>
        <w:t>关键词搜索：https://www.jiaokey.com/tag/举债兴教，强力开发人力资源  教育投资机制分析与河南教育强省思路探索.html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