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干部考察失真失实的成因与对策研究  研究报告</w:t>
      </w:r>
    </w:p>
    <w:p>
      <w:r>
        <w:rPr>
          <w:rFonts w:ascii="宋体" w:hAnsi="宋体" w:eastAsia="宋体"/>
          <w:sz w:val="24"/>
        </w:rPr>
        <w:t>赵士红课题负责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干部考察失真失实的成因与对策研究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赵士红课题负责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本书出售、求购地址：https://www.jiaokey.com/book/detail/13285279.html</w:t>
      </w:r>
    </w:p>
    <w:p>
      <w:r>
        <w:t>更多相关图书推荐：https://www.jiaokey.com</w:t>
      </w:r>
    </w:p>
    <w:p>
      <w:r>
        <w:t>赵士红课题负责 其他作品：https://www.jiaokey.com/tag/赵士红课题负责.html</w:t>
      </w:r>
    </w:p>
    <w:p>
      <w:r>
        <w:t>关键词搜索：https://www.jiaokey.com/tag/干部考察失真失实的成因与对策研究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