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河南省国有企业“抓重放轻”问题研究</w:t>
      </w:r>
    </w:p>
    <w:p>
      <w:r>
        <w:rPr>
          <w:rFonts w:ascii="宋体" w:hAnsi="宋体" w:eastAsia="宋体"/>
          <w:sz w:val="24"/>
        </w:rPr>
        <w:t>孙复兴，程传兴课题负责人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5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河南省国有企业“抓重放轻”问题研究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孙复兴，程传兴课题负责人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河南大学管理学院,2001.10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本书出售、求购地址：https://www.jiaokey.com/book/detail/13285269.html</w:t>
      </w:r>
    </w:p>
    <w:p>
      <w:r>
        <w:t>更多相关图书推荐：https://www.jiaokey.com</w:t>
      </w:r>
    </w:p>
    <w:p>
      <w:r>
        <w:t>孙复兴，程传兴课题负责人 其他作品：https://www.jiaokey.com/tag/孙复兴，程传兴课题负责人.html</w:t>
      </w:r>
    </w:p>
    <w:p>
      <w:r>
        <w:t>河南大学管理学院,2001.10 出版图书：https://www.jiaokey.com/tag/河南大学管理学院,2001.10.html</w:t>
      </w:r>
    </w:p>
    <w:p>
      <w:r>
        <w:t>关键词搜索：https://www.jiaokey.com/tag/河南省国有企业“抓重放轻”问题研究.html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