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河南省艺术设计人才现状及培养模式研究</w:t>
      </w:r>
    </w:p>
    <w:p>
      <w:r>
        <w:rPr>
          <w:rFonts w:ascii="宋体" w:hAnsi="宋体" w:eastAsia="宋体"/>
          <w:sz w:val="24"/>
        </w:rPr>
        <w:t>黄雅峰负责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河南省艺术设计人才现状及培养模式研究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黄雅峰负责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南阳师范高等专科学院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本书出售、求购地址：https://www.jiaokey.com/book/detail/13285256.html</w:t>
      </w:r>
    </w:p>
    <w:p>
      <w:r>
        <w:t>更多相关图书推荐：https://www.jiaokey.com</w:t>
      </w:r>
    </w:p>
    <w:p>
      <w:r>
        <w:t>黄雅峰负责 其他作品：https://www.jiaokey.com/tag/黄雅峰负责.html</w:t>
      </w:r>
    </w:p>
    <w:p>
      <w:r>
        <w:t>南阳师范高等专科学院 出版图书：https://www.jiaokey.com/tag/南阳师范高等专科学院.html</w:t>
      </w:r>
    </w:p>
    <w:p>
      <w:r>
        <w:t>关键词搜索：https://www.jiaokey.com/tag/河南省艺术设计人才现状及培养模式研究.html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