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当代青年价值追求现状、问题及对策研究</w:t>
      </w:r>
    </w:p>
    <w:p>
      <w:r>
        <w:rPr>
          <w:rFonts w:ascii="宋体" w:hAnsi="宋体" w:eastAsia="宋体"/>
          <w:sz w:val="24"/>
        </w:rPr>
        <w:t>魏长领，韩文甫负责人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当代青年价值追求现状、问题及对策研究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魏长领，韩文甫负责人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本书出售、求购地址：https://www.jiaokey.com/book/detail/13285224.html</w:t>
      </w:r>
    </w:p>
    <w:p>
      <w:r>
        <w:t>更多相关图书推荐：https://www.jiaokey.com</w:t>
      </w:r>
    </w:p>
    <w:p>
      <w:r>
        <w:t>魏长领，韩文甫负责人 其他作品：https://www.jiaokey.com/tag/魏长领，韩文甫负责人.html</w:t>
      </w:r>
    </w:p>
    <w:p>
      <w:r>
        <w:t>关键词搜索：https://www.jiaokey.com/tag/当代青年价值追求现状、问题及对策研究.html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