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河南省国有企业建立对经营管理者监督制约机制的研究  研究报告</w:t>
      </w:r>
    </w:p>
    <w:p>
      <w:r>
        <w:rPr>
          <w:rFonts w:ascii="宋体" w:hAnsi="宋体" w:eastAsia="宋体"/>
          <w:sz w:val="24"/>
        </w:rPr>
        <w:t>邹燕秋负责人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河南省国有企业建立对经营管理者监督制约机制的研究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邹燕秋负责人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本书出售、求购地址：https://www.jiaokey.com/book/detail/13285164.html</w:t>
      </w:r>
    </w:p>
    <w:p>
      <w:r>
        <w:t>更多相关图书推荐：https://www.jiaokey.com</w:t>
      </w:r>
    </w:p>
    <w:p>
      <w:r>
        <w:t>邹燕秋负责人 其他作品：https://www.jiaokey.com/tag/邹燕秋负责人.html</w:t>
      </w:r>
    </w:p>
    <w:p>
      <w:r>
        <w:t>关键词搜索：https://www.jiaokey.com/tag/河南省国有企业建立对经营管理者监督制约机制的研究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