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国有企业改制中“激励资源”配置的对策研究报告</w:t>
      </w:r>
    </w:p>
    <w:p>
      <w:r>
        <w:rPr>
          <w:rFonts w:ascii="宋体" w:hAnsi="宋体" w:eastAsia="宋体"/>
          <w:sz w:val="24"/>
        </w:rPr>
        <w:t>《国有企业改制中“激励资源”配置的对策研究报告》课题组负责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国有企业改制中“激励资源”配置的对策研究报告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《国有企业改制中“激励资源”配置的对策研究报告》课题组负责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本书出售、求购地址：https://www.jiaokey.com/book/detail/13285148.html</w:t>
      </w:r>
    </w:p>
    <w:p>
      <w:r>
        <w:t>更多相关图书推荐：https://www.jiaokey.com</w:t>
      </w:r>
    </w:p>
    <w:p>
      <w:r>
        <w:t>《国有企业改制中“激励资源”配置的对策研究报告》课题组负责 其他作品：https://www.jiaokey.com/tag/《国有企业改制中“激励资源”配置的对策研究报告》课题组负责.html</w:t>
      </w:r>
    </w:p>
    <w:p>
      <w:r>
        <w:t>关键词搜索：https://www.jiaokey.com/tag/国有企业改制中“激励资源”配置的对策研究报告.html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