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建国以来党群关系的发展历程及其基本经验研究报告</w:t>
      </w:r>
    </w:p>
    <w:p>
      <w:r>
        <w:rPr>
          <w:rFonts w:ascii="宋体" w:hAnsi="宋体" w:eastAsia="宋体"/>
          <w:sz w:val="24"/>
        </w:rPr>
        <w:t>赵士红负责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建国以来党群关系的发展历程及其基本经验研究报告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赵士红负责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中共河南省委党校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本书出售、求购地址：https://www.jiaokey.com/book/detail/13285060.html</w:t>
      </w:r>
    </w:p>
    <w:p>
      <w:r>
        <w:t>更多相关图书推荐：https://www.jiaokey.com</w:t>
      </w:r>
    </w:p>
    <w:p>
      <w:r>
        <w:t>赵士红负责 其他作品：https://www.jiaokey.com/tag/赵士红负责.html</w:t>
      </w:r>
    </w:p>
    <w:p>
      <w:r>
        <w:t>中共河南省委党校 出版图书：https://www.jiaokey.com/tag/中共河南省委党校.html</w:t>
      </w:r>
    </w:p>
    <w:p>
      <w:r>
        <w:t>关键词搜索：https://www.jiaokey.com/tag/建国以来党群关系的发展历程及其基本经验研究报告.html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