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加强对新闻工作宏观管理的研究</w:t>
      </w:r>
    </w:p>
    <w:p>
      <w:r>
        <w:rPr>
          <w:rFonts w:ascii="宋体" w:hAnsi="宋体" w:eastAsia="宋体"/>
          <w:sz w:val="24"/>
        </w:rPr>
        <w:t>余波主持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加强对新闻工作宏观管理的研究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余波主持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中共河南省委宣传部新闻出版处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本书出售、求购地址：https://www.jiaokey.com/book/detail/13285058.html</w:t>
      </w:r>
    </w:p>
    <w:p>
      <w:r>
        <w:t>更多相关图书推荐：https://www.jiaokey.com</w:t>
      </w:r>
    </w:p>
    <w:p>
      <w:r>
        <w:t>余波主持 其他作品：https://www.jiaokey.com/tag/余波主持.html</w:t>
      </w:r>
    </w:p>
    <w:p>
      <w:r>
        <w:t>中共河南省委宣传部新闻出版处 出版图书：https://www.jiaokey.com/tag/中共河南省委宣传部新闻出版处.html</w:t>
      </w:r>
    </w:p>
    <w:p>
      <w:r>
        <w:t>关键词搜索：https://www.jiaokey.com/tag/加强对新闻工作宏观管理的研究.html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