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知识经济时代创造力资源开发的新思路</w:t>
      </w:r>
    </w:p>
    <w:p>
      <w:r>
        <w:rPr>
          <w:rFonts w:ascii="宋体" w:hAnsi="宋体" w:eastAsia="宋体"/>
          <w:sz w:val="24"/>
        </w:rPr>
        <w:t>宋新谱负责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知识经济时代创造力资源开发的新思路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宋新谱负责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本书出售、求购地址：https://www.jiaokey.com/book/detail/13285057.html</w:t>
      </w:r>
    </w:p>
    <w:p>
      <w:r>
        <w:t>更多相关图书推荐：https://www.jiaokey.com</w:t>
      </w:r>
    </w:p>
    <w:p>
      <w:r>
        <w:t>宋新谱负责 其他作品：https://www.jiaokey.com/tag/宋新谱负责.html</w:t>
      </w:r>
    </w:p>
    <w:p>
      <w:r>
        <w:t>关键词搜索：https://www.jiaokey.com/tag/知识经济时代创造力资源开发的新思路.html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