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依法治理河南省经济秩序难点问题研究报告</w:t>
      </w:r>
    </w:p>
    <w:p>
      <w:r>
        <w:rPr>
          <w:rFonts w:ascii="宋体" w:hAnsi="宋体" w:eastAsia="宋体"/>
          <w:sz w:val="24"/>
        </w:rPr>
        <w:t>沈贵明课题主持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依法治理河南省经济秩序难点问题研究报告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沈贵明课题主持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本书出售、求购地址：https://www.jiaokey.com/book/detail/13285034.html</w:t>
      </w:r>
    </w:p>
    <w:p>
      <w:r>
        <w:t>更多相关图书推荐：https://www.jiaokey.com</w:t>
      </w:r>
    </w:p>
    <w:p>
      <w:r>
        <w:t>沈贵明课题主持 其他作品：https://www.jiaokey.com/tag/沈贵明课题主持.html</w:t>
      </w:r>
    </w:p>
    <w:p>
      <w:r>
        <w:t>关键词搜索：https://www.jiaokey.com/tag/依法治理河南省经济秩序难点问题研究报告.html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