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国有控股公司融资结构与治理结构互动机制研究</w:t>
      </w:r>
    </w:p>
    <w:p>
      <w:r>
        <w:rPr>
          <w:rFonts w:ascii="宋体" w:hAnsi="宋体" w:eastAsia="宋体"/>
          <w:sz w:val="24"/>
        </w:rPr>
        <w:t>李保红，蒋国平，李毓等项目负责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国有控股公司融资结构与治理结构互动机制研究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李保红，蒋国平，李毓等项目负责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本书出售、求购地址：https://www.jiaokey.com/book/detail/13285017.html</w:t>
      </w:r>
    </w:p>
    <w:p>
      <w:r>
        <w:t>更多相关图书推荐：https://www.jiaokey.com</w:t>
      </w:r>
    </w:p>
    <w:p>
      <w:r>
        <w:t>李保红，蒋国平，李毓等项目负责 其他作品：https://www.jiaokey.com/tag/李保红，蒋国平，李毓等项目负责.html</w:t>
      </w:r>
    </w:p>
    <w:p>
      <w:r>
        <w:t>信阳师范学院 出版图书：https://www.jiaokey.com/tag/信阳师范学院.html</w:t>
      </w:r>
    </w:p>
    <w:p>
      <w:r>
        <w:t>关键词搜索：https://www.jiaokey.com/tag/国有控股公司融资结构与治理结构互动机制研究.html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