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国有大中型企业公司制改革跟踪研究阶段性研究成果</w:t>
      </w:r>
    </w:p>
    <w:p>
      <w:r>
        <w:rPr>
          <w:rFonts w:ascii="宋体" w:hAnsi="宋体" w:eastAsia="宋体"/>
          <w:sz w:val="24"/>
        </w:rPr>
        <w:t>梁祖晨课题负责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5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国有大中型企业公司制改革跟踪研究阶段性研究成果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梁祖晨课题负责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本书出售、求购地址：https://www.jiaokey.com/book/detail/13285015.html</w:t>
      </w:r>
    </w:p>
    <w:p>
      <w:r>
        <w:t>更多相关图书推荐：https://www.jiaokey.com</w:t>
      </w:r>
    </w:p>
    <w:p>
      <w:r>
        <w:t>梁祖晨课题负责 其他作品：https://www.jiaokey.com/tag/梁祖晨课题负责.html</w:t>
      </w:r>
    </w:p>
    <w:p>
      <w:r>
        <w:t>关键词搜索：https://www.jiaokey.com/tag/国有大中型企业公司制改革跟踪研究阶段性研究成果.html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