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债转股的新生矛盾及四方合作方式研究  河南省国有企业债转股的跟踪考察与分析</w:t>
      </w:r>
    </w:p>
    <w:p>
      <w:r>
        <w:rPr>
          <w:rFonts w:ascii="宋体" w:hAnsi="宋体" w:eastAsia="宋体"/>
          <w:sz w:val="24"/>
        </w:rPr>
        <w:t>徐荣梅著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债转股的新生矛盾及四方合作方式研究  河南省国有企业债转股的跟踪考察与分析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本书出售、求购地址：https://www.jiaokey.com/book/detail/13285014.html</w:t>
      </w:r>
    </w:p>
    <w:p>
      <w:r>
        <w:t>更多相关图书推荐：https://www.jiaokey.com</w:t>
      </w:r>
    </w:p>
    <w:p>
      <w:r>
        <w:t>徐荣梅著 其他作品：https://www.jiaokey.com/tag/徐荣梅著.html</w:t>
      </w:r>
    </w:p>
    <w:p>
      <w:r>
        <w:t>河南财经学院 出版图书：https://www.jiaokey.com/tag/河南财经学院.html</w:t>
      </w:r>
    </w:p>
    <w:p>
      <w:r>
        <w:t>关键词搜索：https://www.jiaokey.com/tag/债转股的新生矛盾及四方合作方式研究  河南省国有企业债转股的跟踪考察与分析.html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