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我是没有问题的问题儿童</w:t>
      </w:r>
    </w:p>
    <w:p>
      <w:r>
        <w:rPr>
          <w:rFonts w:ascii="宋体" w:hAnsi="宋体" w:eastAsia="宋体"/>
          <w:sz w:val="24"/>
        </w:rPr>
        <w:t>俞孝真著；宋香兰绘图；郑瑾译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我是没有问题的问题儿童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俞孝真著；宋香兰绘图；郑瑾译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狗狗图书有限公司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本书出售、求购地址：https://www.jiaokey.com/book/detail/13283523.html</w:t>
      </w:r>
    </w:p>
    <w:p>
      <w:r>
        <w:t>更多相关图书推荐：https://www.jiaokey.com</w:t>
      </w:r>
    </w:p>
    <w:p>
      <w:r>
        <w:t>俞孝真著；宋香兰绘图；郑瑾译 其他作品：https://www.jiaokey.com/tag/俞孝真著；宋香兰绘图；郑瑾译.html</w:t>
      </w:r>
    </w:p>
    <w:p>
      <w:r>
        <w:t>狗狗图书有限公司 出版图书：https://www.jiaokey.com/tag/狗狗图书有限公司.html</w:t>
      </w:r>
    </w:p>
    <w:p>
      <w:r>
        <w:t>关键词搜索：https://www.jiaokey.com/tag/我是没有问题的问题儿童.html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