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尚实与务虚  六朝志怪书写范式与意蕴</w:t>
      </w:r>
    </w:p>
    <w:p>
      <w:r>
        <w:rPr>
          <w:rFonts w:ascii="宋体" w:hAnsi="宋体" w:eastAsia="宋体"/>
          <w:sz w:val="24"/>
        </w:rPr>
        <w:t>林淑贞著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尚实与务虚  六朝志怪书写范式与意蕴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本书出售、求购地址：https://www.jiaokey.com/book/detail/13283472.html</w:t>
      </w:r>
    </w:p>
    <w:p>
      <w:r>
        <w:t>更多相关图书推荐：https://www.jiaokey.com</w:t>
      </w:r>
    </w:p>
    <w:p>
      <w:r>
        <w:t>林淑贞著 其他作品：https://www.jiaokey.com/tag/林淑贞著.html</w:t>
      </w:r>
    </w:p>
    <w:p>
      <w:r>
        <w:t>里仁书局 出版图书：https://www.jiaokey.com/tag/里仁书局.html</w:t>
      </w:r>
    </w:p>
    <w:p>
      <w:r>
        <w:t>关键词搜索：https://www.jiaokey.com/tag/尚实与务虚  六朝志怪书写范式与意蕴.html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