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奥运模式  运行篇</w:t>
      </w:r>
    </w:p>
    <w:p>
      <w:r>
        <w:rPr>
          <w:rFonts w:ascii="宋体" w:hAnsi="宋体" w:eastAsia="宋体"/>
          <w:sz w:val="24"/>
        </w:rPr>
        <w:t>北京奥林匹克公园管理委员会编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奥运模式  运行篇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北京奥林匹克公园管理委员会编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本书出售、求购地址：https://www.jiaokey.com/book/detail/13282540.html</w:t>
      </w:r>
    </w:p>
    <w:p>
      <w:r>
        <w:t>更多相关图书推荐：https://www.jiaokey.com</w:t>
      </w:r>
    </w:p>
    <w:p>
      <w:r>
        <w:t>北京奥林匹克公园管理委员会编 其他作品：https://www.jiaokey.com/tag/北京奥林匹克公园管理委员会编.html</w:t>
      </w:r>
    </w:p>
    <w:p>
      <w:r>
        <w:t>北京时代经济出版社 出版图书：https://www.jiaokey.com/tag/北京时代经济出版社.html</w:t>
      </w:r>
    </w:p>
    <w:p>
      <w:r>
        <w:t>关键词搜索：https://www.jiaokey.com/tag/奥运模式  运行篇.html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