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个人宗教生活的方法</w:t>
      </w:r>
    </w:p>
    <w:p>
      <w:r>
        <w:rPr>
          <w:rFonts w:ascii="宋体" w:hAnsi="宋体" w:eastAsia="宋体"/>
          <w:sz w:val="24"/>
        </w:rPr>
        <w:t>（美）卫明（H.N.Wieman）著；应远涛译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个人宗教生活的方法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（美）卫明（H.N.Wieman）著；应远涛译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本书出售、求购地址：https://www.jiaokey.com/book/detail/13281471.html</w:t>
      </w:r>
    </w:p>
    <w:p>
      <w:r>
        <w:t>更多相关图书推荐：https://www.jiaokey.com</w:t>
      </w:r>
    </w:p>
    <w:p>
      <w:r>
        <w:t>（美）卫明（H.N.Wieman）著；应远涛译 其他作品：https://www.jiaokey.com/tag/（美）卫明（H.N.Wieman）著；应远涛译.html</w:t>
      </w:r>
    </w:p>
    <w:p>
      <w:r>
        <w:t>青年协会书局 出版图书：https://www.jiaokey.com/tag/青年协会书局.html</w:t>
      </w:r>
    </w:p>
    <w:p>
      <w:r>
        <w:t>关键词搜索：https://www.jiaokey.com/tag/个人宗教生活的方法.html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