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辅导员工作100个怎么办</w:t>
      </w:r>
    </w:p>
    <w:p>
      <w:r>
        <w:rPr>
          <w:rFonts w:ascii="宋体" w:hAnsi="宋体" w:eastAsia="宋体"/>
          <w:sz w:val="24"/>
        </w:rPr>
        <w:t>高治军编；高杨，李见新执行主编；陈新，戴国立，费昕，付晓丽，李大宏，李志强等副主编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辅导员工作100个怎么办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高治军编；高杨，李见新执行主编；陈新，戴国立，费昕，付晓丽，李大宏，李志强等副主编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本书出售、求购地址：https://www.jiaokey.com/book/detail/13279305.html</w:t>
      </w:r>
    </w:p>
    <w:p>
      <w:r>
        <w:t>更多相关图书推荐：https://www.jiaokey.com</w:t>
      </w:r>
    </w:p>
    <w:p>
      <w:r>
        <w:t>高治军编；高杨，李见新执行主编；陈新，戴国立，费昕，付晓丽，李大宏，李志强等副主编 其他作品：https://www.jiaokey.com/tag/高治军编；高杨，李见新执行主编；陈新，戴国立，费昕，付晓丽，李大宏，李志强等副主编.html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关键词搜索：https://www.jiaokey.com/tag/辅导员工作100个怎么办.html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