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从“传统农民”到“现代农民”  以社会主义核心价值体系培育新型农民</w:t>
      </w:r>
    </w:p>
    <w:p>
      <w:r>
        <w:rPr>
          <w:rFonts w:ascii="宋体" w:hAnsi="宋体" w:eastAsia="宋体"/>
          <w:sz w:val="24"/>
        </w:rPr>
        <w:t>钟瑞添，李苑青丛书主编；韦冬雪，谭丹菊著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从“传统农民”到“现代农民”  以社会主义核心价值体系培育新型农民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钟瑞添，李苑青丛书主编；韦冬雪，谭丹菊著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本书出售、求购地址：https://www.jiaokey.com/book/detail/13278100.html</w:t>
      </w:r>
    </w:p>
    <w:p>
      <w:r>
        <w:t>更多相关图书推荐：https://www.jiaokey.com</w:t>
      </w:r>
    </w:p>
    <w:p>
      <w:r>
        <w:t>钟瑞添，李苑青丛书主编；韦冬雪，谭丹菊著 其他作品：https://www.jiaokey.com/tag/钟瑞添，李苑青丛书主编；韦冬雪，谭丹菊著.html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关键词搜索：https://www.jiaokey.com/tag/从“传统农民”到“现代农民”  以社会主义核心价值体系培育新型农民.html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