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理直气壮当家做主人  社会主义核心价值体系与村民自治</w:t>
      </w:r>
    </w:p>
    <w:p>
      <w:r>
        <w:rPr>
          <w:rFonts w:ascii="宋体" w:hAnsi="宋体" w:eastAsia="宋体"/>
          <w:sz w:val="24"/>
        </w:rPr>
        <w:t>钟瑞添，李苑青丛书主编；靳书君，熊琴著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理直气壮当家做主人  社会主义核心价值体系与村民自治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钟瑞添，李苑青丛书主编；靳书君，熊琴著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本书出售、求购地址：https://www.jiaokey.com/book/detail/13278099.html</w:t>
      </w:r>
    </w:p>
    <w:p>
      <w:r>
        <w:t>更多相关图书推荐：https://www.jiaokey.com</w:t>
      </w:r>
    </w:p>
    <w:p>
      <w:r>
        <w:t>钟瑞添，李苑青丛书主编；靳书君，熊琴著 其他作品：https://www.jiaokey.com/tag/钟瑞添，李苑青丛书主编；靳书君，熊琴著.html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关键词搜索：https://www.jiaokey.com/tag/理直气壮当家做主人  社会主义核心价值体系与村民自治.html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