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中国、日本、韩国及香港地区美术交流邀请展</w:t>
      </w:r>
    </w:p>
    <w:p>
      <w:r>
        <w:rPr>
          <w:rFonts w:ascii="宋体" w:hAnsi="宋体" w:eastAsia="宋体"/>
          <w:sz w:val="24"/>
        </w:rPr>
        <w:t>姜丕中主编；高玉珍编辑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中国、日本、韩国及香港地区美术交流邀请展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姜丕中主编；高玉珍编辑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香港武陵庄美术学会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本书出售、求购地址：https://www.jiaokey.com/book/detail/13277498.html</w:t>
      </w:r>
    </w:p>
    <w:p>
      <w:r>
        <w:t>更多相关图书推荐：https://www.jiaokey.com</w:t>
      </w:r>
    </w:p>
    <w:p>
      <w:r>
        <w:t>姜丕中主编；高玉珍编辑 其他作品：https://www.jiaokey.com/tag/姜丕中主编；高玉珍编辑.html</w:t>
      </w:r>
    </w:p>
    <w:p>
      <w:r>
        <w:t>香港武陵庄美术学会 出版图书：https://www.jiaokey.com/tag/香港武陵庄美术学会.html</w:t>
      </w:r>
    </w:p>
    <w:p>
      <w:r>
        <w:t>关键词搜索：https://www.jiaokey.com/tag/中国、日本、韩国及香港地区美术交流邀请展.html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