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环境政策法律问题研究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本书出售、求购地址：https://www.jiaokey.com/book/detail/13277136.html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关键词搜索：https://www.jiaokey.com/tag/环境政策法律问题研究.html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