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黄金投资从入门到精通</w:t>
      </w:r>
    </w:p>
    <w:p>
      <w:r>
        <w:rPr>
          <w:rFonts w:ascii="宋体" w:hAnsi="宋体" w:eastAsia="宋体"/>
          <w:sz w:val="24"/>
        </w:rPr>
        <w:t>（美）季格森，（美）汉森著；中国农业大学期货与金融衍生品研究中心培训部译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（美）季格森，（美）汉森著；中国农业大学期货与金融衍生品研究中心培训部译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本书出售、求购地址：https://www.jiaokey.com/book/detail/13276317.html</w:t>
      </w:r>
    </w:p>
    <w:p>
      <w:r>
        <w:t>更多相关图书推荐：https://www.jiaokey.com</w:t>
      </w:r>
    </w:p>
    <w:p>
      <w:r>
        <w:t>（美）季格森，（美）汉森著；中国农业大学期货与金融衍生品研究中心培训部译 其他作品：https://www.jiaokey.com/tag/（美）季格森，（美）汉森著；中国农业大学期货与金融衍生品研究中心培训部译.html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关键词搜索：https://www.jiaokey.com/tag/黄金投资从入门到精通.html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