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浙江省外国文学研究会丛书  2  中小学外国文学作品教学释疑</w:t>
      </w:r>
    </w:p>
    <w:p>
      <w:r>
        <w:rPr>
          <w:rFonts w:ascii="宋体" w:hAnsi="宋体" w:eastAsia="宋体"/>
          <w:sz w:val="24"/>
        </w:rPr>
        <w:t>沈跃通，史载华，吴克求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浙江省外国文学研究会丛书  2  中小学外国文学作品教学释疑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沈跃通，史载华，吴克求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本书出售、求购地址：https://www.jiaokey.com/book/detail/13274730.html</w:t>
      </w:r>
    </w:p>
    <w:p>
      <w:r>
        <w:t>更多相关图书推荐：https://www.jiaokey.com</w:t>
      </w:r>
    </w:p>
    <w:p>
      <w:r>
        <w:t>沈跃通，史载华，吴克求 其他作品：https://www.jiaokey.com/tag/沈跃通，史载华，吴克求.html</w:t>
      </w:r>
    </w:p>
    <w:p>
      <w:r>
        <w:t>关键词搜索：https://www.jiaokey.com/tag/浙江省外国文学研究会丛书  2  中小学外国文学作品教学释疑.html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