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文教资料  1989年  第2期  总第182期</w:t>
      </w:r>
    </w:p>
    <w:p>
      <w:r>
        <w:rPr>
          <w:rFonts w:ascii="宋体" w:hAnsi="宋体" w:eastAsia="宋体"/>
          <w:sz w:val="24"/>
        </w:rPr>
        <w:t>谈凤梁主编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文教资料  1989年  第2期  总第182期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古文献整理研究所《文教资料》编辑部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本书出售、求购地址：https://www.jiaokey.com/book/detail/13274568.html</w:t>
      </w:r>
    </w:p>
    <w:p>
      <w:r>
        <w:t>更多相关图书推荐：https://www.jiaokey.com</w:t>
      </w:r>
    </w:p>
    <w:p>
      <w:r>
        <w:t>谈凤梁主编 其他作品：https://www.jiaokey.com/tag/谈凤梁主编.html</w:t>
      </w:r>
    </w:p>
    <w:p>
      <w:r>
        <w:t>古文献整理研究所《文教资料》编辑部 出版图书：https://www.jiaokey.com/tag/古文献整理研究所《文教资料》编辑部.html</w:t>
      </w:r>
    </w:p>
    <w:p>
      <w:r>
        <w:t>关键词搜索：https://www.jiaokey.com/tag/文教资料  1989年  第2期  总第182期.html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