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第四编  5  哲学·宗教类  儒墨之异同、墨子学案、墨子大义述、墨学源流</w:t>
      </w:r>
    </w:p>
    <w:p>
      <w:r>
        <w:rPr>
          <w:rFonts w:ascii="宋体" w:hAnsi="宋体" w:eastAsia="宋体"/>
          <w:sz w:val="24"/>
        </w:rPr>
        <w:t>杨大膺，郎擎霄，梁启超著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第四编  5  哲学·宗教类  儒墨之异同、墨子学案、墨子大义述、墨学源流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杨大膺，郎擎霄，梁启超著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本书出售、求购地址：https://www.jiaokey.com/book/detail/13272769.html</w:t>
      </w:r>
    </w:p>
    <w:p>
      <w:r>
        <w:t>更多相关图书推荐：https://www.jiaokey.com</w:t>
      </w:r>
    </w:p>
    <w:p>
      <w:r>
        <w:t>杨大膺，郎擎霄，梁启超著 其他作品：https://www.jiaokey.com/tag/杨大膺，郎擎霄，梁启超著.html</w:t>
      </w:r>
    </w:p>
    <w:p>
      <w:r>
        <w:t>上海书店 出版图书：https://www.jiaokey.com/tag/上海书店.html</w:t>
      </w:r>
    </w:p>
    <w:p>
      <w:r>
        <w:t>关键词搜索：https://www.jiaokey.com/tag/民国丛书  第四编  5  哲学·宗教类  儒墨之异同、墨子学案、墨子大义述、墨学源流.html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