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图书馆工作与研究  1986增刊  中文普通图书著录规则图释</w:t>
      </w:r>
    </w:p>
    <w:p>
      <w:r>
        <w:rPr>
          <w:rFonts w:ascii="宋体" w:hAnsi="宋体" w:eastAsia="宋体"/>
          <w:sz w:val="24"/>
        </w:rPr>
        <w:t>李纪有，刘苏雅编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图书馆工作与研究  1986增刊  中文普通图书著录规则图释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李纪有，刘苏雅编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本书出售、求购地址：https://www.jiaokey.com/book/detail/13272068.html</w:t>
      </w:r>
    </w:p>
    <w:p>
      <w:r>
        <w:t>更多相关图书推荐：https://www.jiaokey.com</w:t>
      </w:r>
    </w:p>
    <w:p>
      <w:r>
        <w:t>李纪有，刘苏雅编 其他作品：https://www.jiaokey.com/tag/李纪有，刘苏雅编.html</w:t>
      </w:r>
    </w:p>
    <w:p>
      <w:r>
        <w:t>天津图书馆 出版图书：https://www.jiaokey.com/tag/天津图书馆.html</w:t>
      </w:r>
    </w:p>
    <w:p>
      <w:r>
        <w:t>关键词搜索：https://www.jiaokey.com/tag/图书馆工作与研究  1986增刊  中文普通图书著录规则图释.html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