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医易义诠释</w:t>
      </w:r>
    </w:p>
    <w:p>
      <w:r>
        <w:rPr>
          <w:rFonts w:ascii="宋体" w:hAnsi="宋体" w:eastAsia="宋体"/>
          <w:sz w:val="24"/>
        </w:rPr>
        <w:t>罗德扬诠释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医易义诠释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罗德扬诠释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金陵思维科学研究所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本书出售、求购地址：https://www.jiaokey.com/book/detail/13272062.html</w:t>
      </w:r>
    </w:p>
    <w:p>
      <w:r>
        <w:t>更多相关图书推荐：https://www.jiaokey.com</w:t>
      </w:r>
    </w:p>
    <w:p>
      <w:r>
        <w:t>罗德扬诠释 其他作品：https://www.jiaokey.com/tag/罗德扬诠释.html</w:t>
      </w:r>
    </w:p>
    <w:p>
      <w:r>
        <w:t>金陵思维科学研究所 出版图书：https://www.jiaokey.com/tag/金陵思维科学研究所.html</w:t>
      </w:r>
    </w:p>
    <w:p>
      <w:r>
        <w:t>关键词搜索：https://www.jiaokey.com/tag/医易义诠释.html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