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最新Turbo Pascal 6.0程序员指南</w:t>
      </w:r>
    </w:p>
    <w:p>
      <w:r>
        <w:rPr>
          <w:rFonts w:ascii="宋体" w:hAnsi="宋体" w:eastAsia="宋体"/>
          <w:sz w:val="24"/>
        </w:rPr>
        <w:t>国华译，润华校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最新Turbo Pascal 6.0程序员指南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国华译，润华校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北京联想计算机集团公司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本书出售、求购地址：https://www.jiaokey.com/book/detail/13272046.html</w:t>
      </w:r>
    </w:p>
    <w:p>
      <w:r>
        <w:t>更多相关图书推荐：https://www.jiaokey.com</w:t>
      </w:r>
    </w:p>
    <w:p>
      <w:r>
        <w:t>国华译，润华校 其他作品：https://www.jiaokey.com/tag/国华译，润华校.html</w:t>
      </w:r>
    </w:p>
    <w:p>
      <w:r>
        <w:t>北京联想计算机集团公司 出版图书：https://www.jiaokey.com/tag/北京联想计算机集团公司.html</w:t>
      </w:r>
    </w:p>
    <w:p>
      <w:r>
        <w:t>关键词搜索：https://www.jiaokey.com/tag/最新Turbo Pascal 6.0程序员指南.html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