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企业财务会计报告条例实施手册  中</w:t>
      </w:r>
    </w:p>
    <w:p>
      <w:r>
        <w:rPr>
          <w:rFonts w:ascii="宋体" w:hAnsi="宋体" w:eastAsia="宋体"/>
          <w:sz w:val="24"/>
        </w:rPr>
        <w:t>本手册编委会编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企业财务会计报告条例实施手册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万方数据电子出版社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本书出售、求购地址：https://www.jiaokey.com/book/detail/13267663.html</w:t>
      </w:r>
    </w:p>
    <w:p>
      <w:r>
        <w:t>更多相关图书推荐：https://www.jiaokey.com</w:t>
      </w:r>
    </w:p>
    <w:p>
      <w:r>
        <w:t>本手册编委会编 其他作品：https://www.jiaokey.com/tag/本手册编委会编.html</w:t>
      </w:r>
    </w:p>
    <w:p>
      <w:r>
        <w:t>万方数据电子出版社 出版图书：https://www.jiaokey.com/tag/万方数据电子出版社.html</w:t>
      </w:r>
    </w:p>
    <w:p>
      <w:r>
        <w:t>关键词搜索：https://www.jiaokey.com/tag/企业财务会计报告条例实施手册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