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</w:t>
      </w:r>
    </w:p>
    <w:p>
      <w:r>
        <w:rPr>
          <w:rFonts w:ascii="宋体" w:hAnsi="宋体" w:eastAsia="宋体"/>
          <w:sz w:val="24"/>
        </w:rPr>
        <w:t>（清）张廷玉等撰；毛佩琦本书主编；彭勇副主编；吕欧，马静茹译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（清）张廷玉等撰；毛佩琦本书主编；彭勇副主编；吕欧，马静茹译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本书出售、求购地址：https://www.jiaokey.com/book/detail/13266157.html</w:t>
      </w:r>
    </w:p>
    <w:p>
      <w:r>
        <w:t>更多相关图书推荐：https://www.jiaokey.com</w:t>
      </w:r>
    </w:p>
    <w:p>
      <w:r>
        <w:t>（清）张廷玉等撰；毛佩琦本书主编；彭勇副主编；吕欧，马静茹译 其他作品：https://www.jiaokey.com/tag/（清）张廷玉等撰；毛佩琦本书主编；彭勇副主编；吕欧，马静茹译.html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