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</w:t>
      </w:r>
    </w:p>
    <w:p>
      <w:r>
        <w:rPr>
          <w:rFonts w:ascii="宋体" w:hAnsi="宋体" w:eastAsia="宋体"/>
          <w:sz w:val="24"/>
        </w:rPr>
        <w:t>李应兴，满正行主编；曹永春，蔡正琦，顿毅杰副主编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李应兴，满正行主编；曹永春，蔡正琦，顿毅杰副主编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本书出售、求购地址：https://www.jiaokey.com/book/detail/13265880.html</w:t>
      </w:r>
    </w:p>
    <w:p>
      <w:r>
        <w:t>更多相关图书推荐：https://www.jiaokey.com</w:t>
      </w:r>
    </w:p>
    <w:p>
      <w:r>
        <w:t>李应兴，满正行主编；曹永春，蔡正琦，顿毅杰副主编 其他作品：https://www.jiaokey.com/tag/李应兴，满正行主编；曹永春，蔡正琦，顿毅杰副主编.html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