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绿盒子重绘形貌  媒体现实的空间</w:t>
      </w:r>
    </w:p>
    <w:p>
      <w:r>
        <w:rPr>
          <w:rFonts w:ascii="宋体" w:hAnsi="宋体" w:eastAsia="宋体"/>
          <w:sz w:val="24"/>
        </w:rPr>
        <w:t>中国美术学院跨媒体艺术学院编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绿盒子重绘形貌  媒体现实的空间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中国美术学院跨媒体艺术学院编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本书出售、求购地址：https://www.jiaokey.com/book/detail/13264864.html</w:t>
      </w:r>
    </w:p>
    <w:p>
      <w:r>
        <w:t>更多相关图书推荐：https://www.jiaokey.com</w:t>
      </w:r>
    </w:p>
    <w:p>
      <w:r>
        <w:t>中国美术学院跨媒体艺术学院编 其他作品：https://www.jiaokey.com/tag/中国美术学院跨媒体艺术学院编.html</w:t>
      </w:r>
    </w:p>
    <w:p>
      <w:r>
        <w:t>中国美术学校出版社 出版图书：https://www.jiaokey.com/tag/中国美术学校出版社.html</w:t>
      </w:r>
    </w:p>
    <w:p>
      <w:r>
        <w:t>关键词搜索：https://www.jiaokey.com/tag/绿盒子重绘形貌  媒体现实的空间.html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