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不走正路的安得伦</w:t>
      </w:r>
    </w:p>
    <w:p>
      <w:r>
        <w:rPr>
          <w:rFonts w:ascii="宋体" w:hAnsi="宋体" w:eastAsia="宋体"/>
          <w:sz w:val="24"/>
        </w:rPr>
        <w:t>（苏）А.С.捏维洛夫（А.С.Неверов）著；曹靖华译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不走正路的安得伦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（苏）А.С.捏维洛夫（А.С.Неверов）著；曹靖华译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本书出售、求购地址：https://www.jiaokey.com/book/detail/13264329.html</w:t>
      </w:r>
    </w:p>
    <w:p>
      <w:r>
        <w:t>更多相关图书推荐：https://www.jiaokey.com</w:t>
      </w:r>
    </w:p>
    <w:p>
      <w:r>
        <w:t>（苏）А.С.捏维洛夫（А.С.Неверов）著；曹靖华译 其他作品：https://www.jiaokey.com/tag/（苏）А.С.捏维洛夫（А.С.Неверов）著；曹靖华译.html</w:t>
      </w:r>
    </w:p>
    <w:p>
      <w:r>
        <w:t>东北书店 出版图书：https://www.jiaokey.com/tag/东北书店.html</w:t>
      </w:r>
    </w:p>
    <w:p>
      <w:r>
        <w:t>关键词搜索：https://www.jiaokey.com/tag/不走正路的安得伦.html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