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大型古装豫剧穆桂英下山</w:t>
      </w:r>
    </w:p>
    <w:p>
      <w:r>
        <w:rPr>
          <w:rFonts w:ascii="宋体" w:hAnsi="宋体" w:eastAsia="宋体"/>
          <w:sz w:val="24"/>
        </w:rPr>
        <w:t>周武占整理；申景玉刻写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大型古装豫剧穆桂英下山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周武占整理；申景玉刻写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本书出售、求购地址：https://www.jiaokey.com/book/detail/13263420.html</w:t>
      </w:r>
    </w:p>
    <w:p>
      <w:r>
        <w:t>更多相关图书推荐：https://www.jiaokey.com</w:t>
      </w:r>
    </w:p>
    <w:p>
      <w:r>
        <w:t>周武占整理；申景玉刻写 其他作品：https://www.jiaokey.com/tag/周武占整理；申景玉刻写.html</w:t>
      </w:r>
    </w:p>
    <w:p>
      <w:r>
        <w:t>河南省豫剧二团 出版图书：https://www.jiaokey.com/tag/河南省豫剧二团.html</w:t>
      </w:r>
    </w:p>
    <w:p>
      <w:r>
        <w:t>关键词搜索：https://www.jiaokey.com/tag/大型古装豫剧穆桂英下山.html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