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论兴建“黄河文化特区”的战略意义</w:t>
      </w:r>
    </w:p>
    <w:p>
      <w:r>
        <w:rPr>
          <w:rFonts w:ascii="宋体" w:hAnsi="宋体" w:eastAsia="宋体"/>
          <w:sz w:val="24"/>
        </w:rPr>
        <w:t>王仁民编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论兴建“黄河文化特区”的战略意义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本书出售、求购地址：https://www.jiaokey.com/book/detail/13263361.html</w:t>
      </w:r>
    </w:p>
    <w:p>
      <w:r>
        <w:t>更多相关图书推荐：https://www.jiaokey.com</w:t>
      </w:r>
    </w:p>
    <w:p>
      <w:r>
        <w:t>王仁民编 其他作品：https://www.jiaokey.com/tag/王仁民编.html</w:t>
      </w:r>
    </w:p>
    <w:p>
      <w:r>
        <w:t>关键词搜索：https://www.jiaokey.com/tag/论兴建“黄河文化特区”的战略意义.html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