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山东艺术学院规章制度选编  图书情报管理</w:t>
      </w:r>
    </w:p>
    <w:p>
      <w:r>
        <w:rPr>
          <w:rFonts w:ascii="宋体" w:hAnsi="宋体" w:eastAsia="宋体"/>
          <w:sz w:val="24"/>
        </w:rPr>
        <w:t>山东艺术学院图书馆编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山东艺术学院规章制度选编  图书情报管理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山东艺术学院图书馆编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本书出售、求购地址：https://www.jiaokey.com/book/detail/13262974.html</w:t>
      </w:r>
    </w:p>
    <w:p>
      <w:r>
        <w:t>更多相关图书推荐：https://www.jiaokey.com</w:t>
      </w:r>
    </w:p>
    <w:p>
      <w:r>
        <w:t>山东艺术学院图书馆编 其他作品：https://www.jiaokey.com/tag/山东艺术学院图书馆编.html</w:t>
      </w:r>
    </w:p>
    <w:p>
      <w:r>
        <w:t>关键词搜索：https://www.jiaokey.com/tag/山东艺术学院规章制度选编  图书情报管理.html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