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百岁将军孙毅</w:t>
      </w:r>
    </w:p>
    <w:p>
      <w:r>
        <w:rPr>
          <w:rFonts w:ascii="宋体" w:hAnsi="宋体" w:eastAsia="宋体"/>
          <w:sz w:val="24"/>
        </w:rPr>
        <w:t>宋柄权，万江麟，杨国林主编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百岁将军孙毅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宋柄权，万江麟，杨国林主编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本书出售、求购地址：https://www.jiaokey.com/book/detail/13262886.html</w:t>
      </w:r>
    </w:p>
    <w:p>
      <w:r>
        <w:t>更多相关图书推荐：https://www.jiaokey.com</w:t>
      </w:r>
    </w:p>
    <w:p>
      <w:r>
        <w:t>宋柄权，万江麟，杨国林主编 其他作品：https://www.jiaokey.com/tag/宋柄权，万江麟，杨国林主编.html</w:t>
      </w:r>
    </w:p>
    <w:p>
      <w:r>
        <w:t>蓝月出版社 出版图书：https://www.jiaokey.com/tag/蓝月出版社.html</w:t>
      </w:r>
    </w:p>
    <w:p>
      <w:r>
        <w:t>关键词搜索：https://www.jiaokey.com/tag/百岁将军孙毅.html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