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  中药类专业用  第2版</w:t>
      </w:r>
    </w:p>
    <w:p>
      <w:r>
        <w:rPr>
          <w:rFonts w:ascii="宋体" w:hAnsi="宋体" w:eastAsia="宋体"/>
          <w:sz w:val="24"/>
        </w:rPr>
        <w:t>蔡宝昌主编；陈勇，贡济宇，潘金火，孙晖，曾元儿副主编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  中药类专业用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蔡宝昌主编；陈勇，贡济宇，潘金火，孙晖，曾元儿副主编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本书出售、求购地址：https://www.jiaokey.com/book/detail/13262561.html</w:t>
      </w:r>
    </w:p>
    <w:p>
      <w:r>
        <w:t>更多相关图书推荐：https://www.jiaokey.com</w:t>
      </w:r>
    </w:p>
    <w:p>
      <w:r>
        <w:t>蔡宝昌主编；陈勇，贡济宇，潘金火，孙晖，曾元儿副主编 其他作品：https://www.jiaokey.com/tag/蔡宝昌主编；陈勇，贡济宇，潘金火，孙晖，曾元儿副主编.html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关键词搜索：https://www.jiaokey.com/tag/中药制剂分析  中药类专业用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